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39A1" w:rsidRDefault="00AB39A1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59A9">
        <w:rPr>
          <w:rFonts w:ascii="Times New Roman" w:eastAsia="Times New Roman" w:hAnsi="Times New Roman" w:cs="Times New Roman"/>
          <w:sz w:val="24"/>
          <w:szCs w:val="24"/>
        </w:rPr>
        <w:t>Risk Management</w:t>
      </w: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59A9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59A9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1159A9" w:rsidRPr="001159A9" w:rsidRDefault="001159A9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59A9" w:rsidRPr="001159A9" w:rsidRDefault="001159A9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59A9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159A9" w:rsidRPr="001159A9" w:rsidRDefault="001159A9" w:rsidP="001159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59A9">
        <w:rPr>
          <w:rFonts w:ascii="Times New Roman" w:eastAsia="Times New Roman" w:hAnsi="Times New Roman" w:cs="Times New Roman"/>
          <w:sz w:val="24"/>
          <w:szCs w:val="24"/>
        </w:rPr>
        <w:lastRenderedPageBreak/>
        <w:t>Risk Management</w:t>
      </w:r>
    </w:p>
    <w:p w:rsidR="008379B4" w:rsidRPr="008379B4" w:rsidRDefault="008379B4" w:rsidP="008379B4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:rsidR="0067775B" w:rsidRPr="0067775B" w:rsidRDefault="008D2D71" w:rsidP="00CC2613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Risk assessment is an important component of </w:t>
      </w:r>
      <w:r w:rsidR="006C31D9">
        <w:rPr>
          <w:rFonts w:ascii="Times New Roman" w:eastAsia="Times New Roman" w:hAnsi="Times New Roman" w:cs="Times New Roman"/>
          <w:sz w:val="24"/>
          <w:szCs w:val="24"/>
        </w:rPr>
        <w:t>investments. An investor should manage the risk in their portfolio to get optimal returns and avoid losing all or part of their investment. Risk management can be based on fundamental, technical, and/or sentimental analysis. This paper evaluat</w:t>
      </w:r>
      <w:r w:rsidR="00334DEF">
        <w:rPr>
          <w:rFonts w:ascii="Times New Roman" w:eastAsia="Times New Roman" w:hAnsi="Times New Roman" w:cs="Times New Roman"/>
          <w:sz w:val="24"/>
          <w:szCs w:val="24"/>
        </w:rPr>
        <w:t>es some of</w:t>
      </w:r>
      <w:r w:rsidR="008578D5">
        <w:rPr>
          <w:rFonts w:ascii="Times New Roman" w:eastAsia="Times New Roman" w:hAnsi="Times New Roman" w:cs="Times New Roman"/>
          <w:sz w:val="24"/>
          <w:szCs w:val="24"/>
        </w:rPr>
        <w:t xml:space="preserve"> the options that can be used for risk management. </w:t>
      </w:r>
      <w:r w:rsidR="006C31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75B" w:rsidRPr="0067775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7775B" w:rsidRPr="008379B4" w:rsidRDefault="00B77B6D" w:rsidP="001159A9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Methodology</w:t>
      </w:r>
    </w:p>
    <w:p w:rsidR="00623399" w:rsidRPr="0067775B" w:rsidRDefault="00623399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07E3C">
        <w:rPr>
          <w:rFonts w:ascii="Times New Roman" w:eastAsia="Times New Roman" w:hAnsi="Times New Roman" w:cs="Times New Roman"/>
          <w:sz w:val="24"/>
          <w:szCs w:val="24"/>
        </w:rPr>
        <w:t>We checked four stock which were used to analyze the effect and impact that different risk management strategies may have on the overall portfolio risk and the return on investment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633474664"/>
          <w:citation/>
        </w:sdtPr>
        <w:sdtEndPr/>
        <w:sdtContent>
          <w:r w:rsidR="008379B4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8379B4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Mar131 \l 1033 </w:instrText>
          </w:r>
          <w:r w:rsidR="008379B4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8379B4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8379B4" w:rsidRPr="008379B4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(Marty, 2013)</w:t>
          </w:r>
          <w:r w:rsidR="008379B4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07E3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492B">
        <w:rPr>
          <w:rFonts w:ascii="Times New Roman" w:eastAsia="Times New Roman" w:hAnsi="Times New Roman" w:cs="Times New Roman"/>
          <w:sz w:val="24"/>
          <w:szCs w:val="24"/>
        </w:rPr>
        <w:t xml:space="preserve">The five stock are </w:t>
      </w:r>
      <w:r w:rsidR="00462551">
        <w:rPr>
          <w:rFonts w:ascii="Times New Roman" w:eastAsia="Times New Roman" w:hAnsi="Times New Roman" w:cs="Times New Roman"/>
          <w:sz w:val="24"/>
          <w:szCs w:val="24"/>
        </w:rPr>
        <w:t>Starbucks Corporation (SBUX), Dunkin’ Brands Group, Inc. (DNKN), The Cheesecake Factory Incorporated (CAKE), and Texas Roadhouse, Inc. (</w:t>
      </w:r>
      <w:r w:rsidR="00D2177E">
        <w:rPr>
          <w:rFonts w:ascii="Times New Roman" w:eastAsia="Times New Roman" w:hAnsi="Times New Roman" w:cs="Times New Roman"/>
          <w:sz w:val="24"/>
          <w:szCs w:val="24"/>
        </w:rPr>
        <w:t xml:space="preserve">TXRH). Price data for the companies was collected from year 2014 to 2018 (5 Years). </w:t>
      </w:r>
    </w:p>
    <w:p w:rsidR="00835087" w:rsidRDefault="000E6125" w:rsidP="0003492A">
      <w:pPr>
        <w:spacing w:after="0" w:line="480" w:lineRule="auto"/>
        <w:rPr>
          <w:noProof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Data Description</w:t>
      </w:r>
    </w:p>
    <w:p w:rsidR="00835087" w:rsidRDefault="00835087" w:rsidP="00835087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1</w:t>
        </w:r>
      </w:fldSimple>
      <w:r>
        <w:t>: SBUX</w:t>
      </w:r>
    </w:p>
    <w:p w:rsidR="00835087" w:rsidRDefault="00790AB8" w:rsidP="00835087">
      <w:pPr>
        <w:keepNext/>
        <w:spacing w:after="0" w:line="480" w:lineRule="auto"/>
      </w:pPr>
      <w:r>
        <w:rPr>
          <w:noProof/>
        </w:rPr>
        <w:drawing>
          <wp:inline distT="0" distB="0" distL="0" distR="0" wp14:anchorId="29619E1A" wp14:editId="75DB406B">
            <wp:extent cx="4032161" cy="275272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23573"/>
                    <a:stretch/>
                  </pic:blipFill>
                  <pic:spPr bwMode="auto">
                    <a:xfrm>
                      <a:off x="0" y="0"/>
                      <a:ext cx="4043451" cy="2760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A4E" w:rsidRDefault="00450A4E" w:rsidP="00835087">
      <w:pPr>
        <w:keepNext/>
        <w:spacing w:after="0" w:line="480" w:lineRule="auto"/>
      </w:pPr>
      <w:r>
        <w:t xml:space="preserve">Source: </w:t>
      </w:r>
      <w:sdt>
        <w:sdtPr>
          <w:id w:val="1122190906"/>
          <w:citation/>
        </w:sdtPr>
        <w:sdtEndPr/>
        <w:sdtContent>
          <w:r>
            <w:fldChar w:fldCharType="begin"/>
          </w:r>
          <w:r>
            <w:instrText xml:space="preserve"> CITATION Sta19 \l 1033 </w:instrText>
          </w:r>
          <w:r>
            <w:fldChar w:fldCharType="separate"/>
          </w:r>
          <w:r>
            <w:rPr>
              <w:noProof/>
            </w:rPr>
            <w:t>(Starbucks Corporation, 2019)</w:t>
          </w:r>
          <w:r>
            <w:fldChar w:fldCharType="end"/>
          </w:r>
        </w:sdtContent>
      </w:sdt>
    </w:p>
    <w:p w:rsidR="00835087" w:rsidRDefault="00835087" w:rsidP="00835087">
      <w:pPr>
        <w:pStyle w:val="Caption"/>
        <w:keepNext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>: DNKN</w:t>
      </w:r>
    </w:p>
    <w:p w:rsidR="00835087" w:rsidRDefault="00835087" w:rsidP="00835087">
      <w:r>
        <w:rPr>
          <w:noProof/>
        </w:rPr>
        <w:drawing>
          <wp:inline distT="0" distB="0" distL="0" distR="0" wp14:anchorId="21A02E2D" wp14:editId="4261DEDF">
            <wp:extent cx="4038152" cy="29337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3429" cy="294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087" w:rsidRDefault="00450A4E" w:rsidP="00835087">
      <w:r>
        <w:t xml:space="preserve">Source: </w:t>
      </w:r>
      <w:sdt>
        <w:sdtPr>
          <w:id w:val="1231039631"/>
          <w:citation/>
        </w:sdtPr>
        <w:sdtEndPr/>
        <w:sdtContent>
          <w:r>
            <w:fldChar w:fldCharType="begin"/>
          </w:r>
          <w:r>
            <w:instrText xml:space="preserve"> CITATION Dun19 \l 1033 </w:instrText>
          </w:r>
          <w:r>
            <w:fldChar w:fldCharType="separate"/>
          </w:r>
          <w:r>
            <w:rPr>
              <w:noProof/>
            </w:rPr>
            <w:t>(Dunkin Brands Group Inc, 2019)</w:t>
          </w:r>
          <w:r>
            <w:fldChar w:fldCharType="end"/>
          </w:r>
        </w:sdtContent>
      </w:sdt>
    </w:p>
    <w:p w:rsidR="00835087" w:rsidRDefault="00835087" w:rsidP="00835087">
      <w:pPr>
        <w:pStyle w:val="Caption"/>
        <w:keepNext/>
      </w:pPr>
      <w:r>
        <w:lastRenderedPageBreak/>
        <w:t xml:space="preserve">Figure </w:t>
      </w:r>
      <w:fldSimple w:instr=" SEQ Figure \* ARABIC ">
        <w:r>
          <w:rPr>
            <w:noProof/>
          </w:rPr>
          <w:t>3</w:t>
        </w:r>
      </w:fldSimple>
      <w:r>
        <w:t>: CAKE</w:t>
      </w:r>
    </w:p>
    <w:p w:rsidR="00835087" w:rsidRDefault="00146790" w:rsidP="00835087">
      <w:r>
        <w:rPr>
          <w:noProof/>
        </w:rPr>
        <w:drawing>
          <wp:inline distT="0" distB="0" distL="0" distR="0" wp14:anchorId="183A3F7A" wp14:editId="7853661D">
            <wp:extent cx="4100228" cy="3009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09332" cy="301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087" w:rsidRDefault="00450A4E" w:rsidP="00835087">
      <w:r>
        <w:t xml:space="preserve">Source: </w:t>
      </w:r>
      <w:sdt>
        <w:sdtPr>
          <w:id w:val="-1022778084"/>
          <w:citation/>
        </w:sdtPr>
        <w:sdtEndPr/>
        <w:sdtContent>
          <w:r>
            <w:fldChar w:fldCharType="begin"/>
          </w:r>
          <w:r>
            <w:instrText xml:space="preserve"> CITATION The19 \l 1033 </w:instrText>
          </w:r>
          <w:r>
            <w:fldChar w:fldCharType="separate"/>
          </w:r>
          <w:r>
            <w:rPr>
              <w:noProof/>
            </w:rPr>
            <w:t>(The Cheesecake Factory, 2019)</w:t>
          </w:r>
          <w:r>
            <w:fldChar w:fldCharType="end"/>
          </w:r>
        </w:sdtContent>
      </w:sdt>
    </w:p>
    <w:p w:rsidR="00835087" w:rsidRDefault="00835087" w:rsidP="00835087">
      <w:pPr>
        <w:pStyle w:val="Caption"/>
        <w:keepNext/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  <w:r>
        <w:t>: TXRH</w:t>
      </w:r>
    </w:p>
    <w:p w:rsidR="00835087" w:rsidRPr="00835087" w:rsidRDefault="0003492A" w:rsidP="00835087">
      <w:r>
        <w:rPr>
          <w:noProof/>
        </w:rPr>
        <w:drawing>
          <wp:inline distT="0" distB="0" distL="0" distR="0" wp14:anchorId="3C8507EF" wp14:editId="1CBA0F90">
            <wp:extent cx="4181475" cy="3083838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5258" cy="309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2A0" w:rsidRDefault="00450A4E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Source: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293755628"/>
          <w:citation/>
        </w:sdtPr>
        <w:sdtEndPr/>
        <w:sdtContent>
          <w:r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TXR19 \l 1033 </w:instrTex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50A4E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(TXRH Overview, 2019)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470F9C" w:rsidRDefault="00470F9C" w:rsidP="00470F9C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>: Fundamental Analysis</w:t>
      </w:r>
    </w:p>
    <w:tbl>
      <w:tblPr>
        <w:tblStyle w:val="TableGridLight"/>
        <w:tblW w:w="9194" w:type="dxa"/>
        <w:tblLook w:val="04A0" w:firstRow="1" w:lastRow="0" w:firstColumn="1" w:lastColumn="0" w:noHBand="0" w:noVBand="1"/>
      </w:tblPr>
      <w:tblGrid>
        <w:gridCol w:w="2495"/>
        <w:gridCol w:w="1710"/>
        <w:gridCol w:w="1710"/>
        <w:gridCol w:w="1710"/>
        <w:gridCol w:w="1569"/>
      </w:tblGrid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SBUX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DNKN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CAKE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TXRH</w:t>
            </w:r>
          </w:p>
        </w:tc>
      </w:tr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Revenue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25.28 B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1.32 B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2.33 B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2.46 B</w:t>
            </w:r>
          </w:p>
        </w:tc>
      </w:tr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EPS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2.27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2.71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2.2</w:t>
            </w:r>
          </w:p>
        </w:tc>
      </w:tr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Dividend (Yield)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1.44 (1.92%)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1.50 (1.97%)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1.32 (2.86%)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1.2 (2.03%)</w:t>
            </w:r>
          </w:p>
        </w:tc>
      </w:tr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P/E Ratio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33.49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28.11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22.02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27.21</w:t>
            </w:r>
          </w:p>
        </w:tc>
      </w:tr>
      <w:tr w:rsidR="0090741D" w:rsidRPr="00AF62A0" w:rsidTr="00470F9C">
        <w:trPr>
          <w:trHeight w:val="245"/>
        </w:trPr>
        <w:tc>
          <w:tcPr>
            <w:tcW w:w="2495" w:type="dxa"/>
            <w:noWrap/>
          </w:tcPr>
          <w:p w:rsidR="0090741D" w:rsidRPr="00AF62A0" w:rsidRDefault="0090741D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Beta</w:t>
            </w:r>
          </w:p>
        </w:tc>
        <w:tc>
          <w:tcPr>
            <w:tcW w:w="1710" w:type="dxa"/>
            <w:noWrap/>
          </w:tcPr>
          <w:p w:rsidR="0090741D" w:rsidRPr="00AF62A0" w:rsidRDefault="0090741D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1710" w:type="dxa"/>
            <w:noWrap/>
          </w:tcPr>
          <w:p w:rsidR="0090741D" w:rsidRPr="00AF62A0" w:rsidRDefault="0090741D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710" w:type="dxa"/>
            <w:noWrap/>
          </w:tcPr>
          <w:p w:rsidR="0090741D" w:rsidRPr="00AF62A0" w:rsidRDefault="0090741D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1569" w:type="dxa"/>
            <w:noWrap/>
          </w:tcPr>
          <w:p w:rsidR="0090741D" w:rsidRPr="00AF62A0" w:rsidRDefault="0090741D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</w:tr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Market Cap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94.59 B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6.29 B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2.13 B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4.29 B</w:t>
            </w:r>
          </w:p>
        </w:tc>
      </w:tr>
      <w:tr w:rsidR="00AF62A0" w:rsidRPr="00AF62A0" w:rsidTr="00470F9C">
        <w:trPr>
          <w:trHeight w:val="245"/>
        </w:trPr>
        <w:tc>
          <w:tcPr>
            <w:tcW w:w="2495" w:type="dxa"/>
            <w:noWrap/>
            <w:hideMark/>
          </w:tcPr>
          <w:p w:rsidR="00AF62A0" w:rsidRPr="00AF62A0" w:rsidRDefault="00AF62A0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62A0">
              <w:rPr>
                <w:rFonts w:ascii="Calibri" w:eastAsia="Times New Roman" w:hAnsi="Calibri" w:cs="Calibri"/>
                <w:b/>
                <w:bCs/>
                <w:color w:val="000000"/>
              </w:rPr>
              <w:t>Average Vol. (3m)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10,256,930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754,980</w:t>
            </w:r>
          </w:p>
        </w:tc>
        <w:tc>
          <w:tcPr>
            <w:tcW w:w="1710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744,061</w:t>
            </w:r>
          </w:p>
        </w:tc>
        <w:tc>
          <w:tcPr>
            <w:tcW w:w="1569" w:type="dxa"/>
            <w:noWrap/>
            <w:hideMark/>
          </w:tcPr>
          <w:p w:rsidR="00AF62A0" w:rsidRPr="00AF62A0" w:rsidRDefault="00AF62A0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2A0">
              <w:rPr>
                <w:rFonts w:ascii="Calibri" w:eastAsia="Times New Roman" w:hAnsi="Calibri" w:cs="Calibri"/>
                <w:color w:val="000000"/>
              </w:rPr>
              <w:t>810,401</w:t>
            </w:r>
          </w:p>
        </w:tc>
      </w:tr>
      <w:tr w:rsidR="000B228E" w:rsidRPr="00AF62A0" w:rsidTr="00470F9C">
        <w:trPr>
          <w:trHeight w:val="245"/>
        </w:trPr>
        <w:tc>
          <w:tcPr>
            <w:tcW w:w="2495" w:type="dxa"/>
            <w:noWrap/>
          </w:tcPr>
          <w:p w:rsidR="000B228E" w:rsidRPr="00AF62A0" w:rsidRDefault="000B228E" w:rsidP="00AF62A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Industry</w:t>
            </w:r>
          </w:p>
        </w:tc>
        <w:tc>
          <w:tcPr>
            <w:tcW w:w="1710" w:type="dxa"/>
            <w:noWrap/>
          </w:tcPr>
          <w:p w:rsidR="000B228E" w:rsidRPr="00AF62A0" w:rsidRDefault="000B228E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  <w:noWrap/>
          </w:tcPr>
          <w:p w:rsidR="000B228E" w:rsidRPr="00AF62A0" w:rsidRDefault="000B228E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  <w:noWrap/>
          </w:tcPr>
          <w:p w:rsidR="000B228E" w:rsidRPr="00AF62A0" w:rsidRDefault="000B228E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9" w:type="dxa"/>
            <w:noWrap/>
          </w:tcPr>
          <w:p w:rsidR="000B228E" w:rsidRPr="00AF62A0" w:rsidRDefault="000B228E" w:rsidP="00AF62A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7775B" w:rsidRDefault="00450A4E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Source: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817880317"/>
          <w:citation/>
        </w:sdtPr>
        <w:sdtEndPr/>
        <w:sdtContent>
          <w:r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Dun19 \l 1033  \m Sta19 \m TXR19 \m The19</w:instrTex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50A4E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(Dunkin Brands Group Inc, 2019; Starbucks Corporation, 2019; TXRH Overview, 2019; The Cheesecake Factory, 2019)</w:t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90741D" w:rsidRPr="008379B4" w:rsidRDefault="0090741D" w:rsidP="008379B4">
      <w:pPr>
        <w:spacing w:after="0" w:line="48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Beta</w:t>
      </w:r>
    </w:p>
    <w:p w:rsidR="0090741D" w:rsidRDefault="0090741D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0681C">
        <w:rPr>
          <w:rFonts w:ascii="Times New Roman" w:eastAsia="Times New Roman" w:hAnsi="Times New Roman" w:cs="Times New Roman"/>
          <w:sz w:val="24"/>
          <w:szCs w:val="24"/>
        </w:rPr>
        <w:t xml:space="preserve">Beta compares the volatility of a stock to the market </w:t>
      </w:r>
      <w:r w:rsidR="008377EA">
        <w:rPr>
          <w:rFonts w:ascii="Times New Roman" w:eastAsia="Times New Roman" w:hAnsi="Times New Roman" w:cs="Times New Roman"/>
          <w:sz w:val="24"/>
          <w:szCs w:val="24"/>
        </w:rPr>
        <w:t xml:space="preserve">index </w:t>
      </w:r>
      <w:r w:rsidR="0070681C">
        <w:rPr>
          <w:rFonts w:ascii="Times New Roman" w:eastAsia="Times New Roman" w:hAnsi="Times New Roman" w:cs="Times New Roman"/>
          <w:sz w:val="24"/>
          <w:szCs w:val="24"/>
        </w:rPr>
        <w:t>volatility. A beta that is equal to one means that a stock has the same level</w:t>
      </w:r>
      <w:r w:rsidR="0012570E">
        <w:rPr>
          <w:rFonts w:ascii="Times New Roman" w:eastAsia="Times New Roman" w:hAnsi="Times New Roman" w:cs="Times New Roman"/>
          <w:sz w:val="24"/>
          <w:szCs w:val="24"/>
        </w:rPr>
        <w:t xml:space="preserve"> of volatility as the market</w:t>
      </w:r>
      <w:r w:rsidR="008377EA">
        <w:rPr>
          <w:rFonts w:ascii="Times New Roman" w:eastAsia="Times New Roman" w:hAnsi="Times New Roman" w:cs="Times New Roman"/>
          <w:sz w:val="24"/>
          <w:szCs w:val="24"/>
        </w:rPr>
        <w:t xml:space="preserve"> index</w:t>
      </w:r>
      <w:r w:rsidR="0012570E">
        <w:rPr>
          <w:rFonts w:ascii="Times New Roman" w:eastAsia="Times New Roman" w:hAnsi="Times New Roman" w:cs="Times New Roman"/>
          <w:sz w:val="24"/>
          <w:szCs w:val="24"/>
        </w:rPr>
        <w:t>. A beta that is below one means that a stock price has a low volatility compared t</w:t>
      </w:r>
      <w:r w:rsidR="008377EA">
        <w:rPr>
          <w:rFonts w:ascii="Times New Roman" w:eastAsia="Times New Roman" w:hAnsi="Times New Roman" w:cs="Times New Roman"/>
          <w:sz w:val="24"/>
          <w:szCs w:val="24"/>
        </w:rPr>
        <w:t xml:space="preserve">o the </w:t>
      </w:r>
      <w:r w:rsidR="0012570E">
        <w:rPr>
          <w:rFonts w:ascii="Times New Roman" w:eastAsia="Times New Roman" w:hAnsi="Times New Roman" w:cs="Times New Roman"/>
          <w:sz w:val="24"/>
          <w:szCs w:val="24"/>
        </w:rPr>
        <w:t xml:space="preserve">market </w:t>
      </w:r>
      <w:r w:rsidR="008377EA">
        <w:rPr>
          <w:rFonts w:ascii="Times New Roman" w:eastAsia="Times New Roman" w:hAnsi="Times New Roman" w:cs="Times New Roman"/>
          <w:sz w:val="24"/>
          <w:szCs w:val="24"/>
        </w:rPr>
        <w:t xml:space="preserve">index </w:t>
      </w:r>
      <w:r w:rsidR="0012570E">
        <w:rPr>
          <w:rFonts w:ascii="Times New Roman" w:eastAsia="Times New Roman" w:hAnsi="Times New Roman" w:cs="Times New Roman"/>
          <w:sz w:val="24"/>
          <w:szCs w:val="24"/>
        </w:rPr>
        <w:t xml:space="preserve">volatility. A beta that is higher than one means that the stock’s volatility is higher than the </w:t>
      </w:r>
      <w:r w:rsidR="008377EA">
        <w:rPr>
          <w:rFonts w:ascii="Times New Roman" w:eastAsia="Times New Roman" w:hAnsi="Times New Roman" w:cs="Times New Roman"/>
          <w:sz w:val="24"/>
          <w:szCs w:val="24"/>
        </w:rPr>
        <w:t>market index volatility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76920408"/>
          <w:citation/>
        </w:sdtPr>
        <w:sdtEndPr/>
        <w:sdtContent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Ken18 \l 1033 </w:instrText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26104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26104A" w:rsidRPr="0026104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(Kensinger, 2018)</w:t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377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43344">
        <w:rPr>
          <w:rFonts w:ascii="Times New Roman" w:eastAsia="Times New Roman" w:hAnsi="Times New Roman" w:cs="Times New Roman"/>
          <w:sz w:val="24"/>
          <w:szCs w:val="24"/>
        </w:rPr>
        <w:t>The four stocks all have a beta that is less than one. This means that their prices do not fluctuate widely, therefore reducing the risk posed by each to the market.</w:t>
      </w:r>
    </w:p>
    <w:p w:rsidR="00C43344" w:rsidRPr="008379B4" w:rsidRDefault="00C43344" w:rsidP="008379B4">
      <w:pPr>
        <w:spacing w:after="0" w:line="48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Value at Risk</w:t>
      </w:r>
    </w:p>
    <w:p w:rsidR="009E517D" w:rsidRDefault="00C43344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36A8E">
        <w:rPr>
          <w:rFonts w:ascii="Times New Roman" w:eastAsia="Times New Roman" w:hAnsi="Times New Roman" w:cs="Times New Roman"/>
          <w:sz w:val="24"/>
          <w:szCs w:val="24"/>
        </w:rPr>
        <w:t xml:space="preserve">Value at </w:t>
      </w:r>
      <w:r w:rsidR="00F94A87">
        <w:rPr>
          <w:rFonts w:ascii="Times New Roman" w:eastAsia="Times New Roman" w:hAnsi="Times New Roman" w:cs="Times New Roman"/>
          <w:sz w:val="24"/>
          <w:szCs w:val="24"/>
        </w:rPr>
        <w:t>r</w:t>
      </w:r>
      <w:r w:rsidR="00CA4F4E">
        <w:rPr>
          <w:rFonts w:ascii="Times New Roman" w:eastAsia="Times New Roman" w:hAnsi="Times New Roman" w:cs="Times New Roman"/>
          <w:sz w:val="24"/>
          <w:szCs w:val="24"/>
        </w:rPr>
        <w:t>isk</w:t>
      </w:r>
      <w:r w:rsidR="00E82B0D">
        <w:rPr>
          <w:rFonts w:ascii="Times New Roman" w:eastAsia="Times New Roman" w:hAnsi="Times New Roman" w:cs="Times New Roman"/>
          <w:sz w:val="24"/>
          <w:szCs w:val="24"/>
        </w:rPr>
        <w:t xml:space="preserve"> (VaR)</w:t>
      </w:r>
      <w:r w:rsidR="00CA4F4E">
        <w:rPr>
          <w:rFonts w:ascii="Times New Roman" w:eastAsia="Times New Roman" w:hAnsi="Times New Roman" w:cs="Times New Roman"/>
          <w:sz w:val="24"/>
          <w:szCs w:val="24"/>
        </w:rPr>
        <w:t xml:space="preserve"> is the proportion </w:t>
      </w:r>
      <w:r w:rsidR="00036A8E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1A20A7">
        <w:rPr>
          <w:rFonts w:ascii="Times New Roman" w:eastAsia="Times New Roman" w:hAnsi="Times New Roman" w:cs="Times New Roman"/>
          <w:sz w:val="24"/>
          <w:szCs w:val="24"/>
        </w:rPr>
        <w:t xml:space="preserve">a fund exposed </w:t>
      </w:r>
      <w:r w:rsidR="00CA4F4E">
        <w:rPr>
          <w:rFonts w:ascii="Times New Roman" w:eastAsia="Times New Roman" w:hAnsi="Times New Roman" w:cs="Times New Roman"/>
          <w:sz w:val="24"/>
          <w:szCs w:val="24"/>
        </w:rPr>
        <w:t xml:space="preserve">to any one stock. For instance in our case, by dividing the investment funds into </w:t>
      </w:r>
      <w:r w:rsidR="00E82B0D">
        <w:rPr>
          <w:rFonts w:ascii="Times New Roman" w:eastAsia="Times New Roman" w:hAnsi="Times New Roman" w:cs="Times New Roman"/>
          <w:sz w:val="24"/>
          <w:szCs w:val="24"/>
        </w:rPr>
        <w:t xml:space="preserve">four, the value at risk </w:t>
      </w:r>
      <w:r w:rsidR="00EA57E0">
        <w:rPr>
          <w:rFonts w:ascii="Times New Roman" w:eastAsia="Times New Roman" w:hAnsi="Times New Roman" w:cs="Times New Roman"/>
          <w:sz w:val="24"/>
          <w:szCs w:val="24"/>
        </w:rPr>
        <w:t xml:space="preserve">exposed by investing in each of the </w:t>
      </w:r>
      <w:r w:rsidR="00E82B0D">
        <w:rPr>
          <w:rFonts w:ascii="Times New Roman" w:eastAsia="Times New Roman" w:hAnsi="Times New Roman" w:cs="Times New Roman"/>
          <w:sz w:val="24"/>
          <w:szCs w:val="24"/>
        </w:rPr>
        <w:t xml:space="preserve">stocks </w:t>
      </w:r>
      <w:r w:rsidR="00EA57E0">
        <w:rPr>
          <w:rFonts w:ascii="Times New Roman" w:eastAsia="Times New Roman" w:hAnsi="Times New Roman" w:cs="Times New Roman"/>
          <w:sz w:val="24"/>
          <w:szCs w:val="24"/>
        </w:rPr>
        <w:t>is 25 percent of the overall fund.</w:t>
      </w:r>
      <w:r w:rsidR="003E57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5363">
        <w:rPr>
          <w:rFonts w:ascii="Times New Roman" w:eastAsia="Times New Roman" w:hAnsi="Times New Roman" w:cs="Times New Roman"/>
          <w:sz w:val="24"/>
          <w:szCs w:val="24"/>
        </w:rPr>
        <w:t xml:space="preserve">By limiting the exposure to any particular stock, it is possible to mitigate against any adverse events that may affect the </w:t>
      </w:r>
      <w:r w:rsidR="00C01CD8">
        <w:rPr>
          <w:rFonts w:ascii="Times New Roman" w:eastAsia="Times New Roman" w:hAnsi="Times New Roman" w:cs="Times New Roman"/>
          <w:sz w:val="24"/>
          <w:szCs w:val="24"/>
        </w:rPr>
        <w:t xml:space="preserve">performance of the stock. </w:t>
      </w:r>
      <w:r w:rsidR="009E517D">
        <w:rPr>
          <w:rFonts w:ascii="Times New Roman" w:eastAsia="Times New Roman" w:hAnsi="Times New Roman" w:cs="Times New Roman"/>
          <w:sz w:val="24"/>
          <w:szCs w:val="24"/>
        </w:rPr>
        <w:t>Close to the value at risk concept is diversification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353688423"/>
          <w:citation/>
        </w:sdtPr>
        <w:sdtEndPr/>
        <w:sdtContent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Cho13 \l 1033 </w:instrText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26104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26104A" w:rsidRPr="0026104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(Choudhry, 2013)</w:t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E517D">
        <w:rPr>
          <w:rFonts w:ascii="Times New Roman" w:eastAsia="Times New Roman" w:hAnsi="Times New Roman" w:cs="Times New Roman"/>
          <w:sz w:val="24"/>
          <w:szCs w:val="24"/>
        </w:rPr>
        <w:t xml:space="preserve">. Diversification </w:t>
      </w:r>
      <w:r w:rsidR="000B228E">
        <w:rPr>
          <w:rFonts w:ascii="Times New Roman" w:eastAsia="Times New Roman" w:hAnsi="Times New Roman" w:cs="Times New Roman"/>
          <w:sz w:val="24"/>
          <w:szCs w:val="24"/>
        </w:rPr>
        <w:t xml:space="preserve">helps in minimizing exposure to any particular industry or stock. </w:t>
      </w:r>
    </w:p>
    <w:p w:rsidR="00512436" w:rsidRPr="008379B4" w:rsidRDefault="00512436" w:rsidP="008379B4">
      <w:pPr>
        <w:spacing w:after="0" w:line="48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Stop Loss Limit</w:t>
      </w:r>
    </w:p>
    <w:p w:rsidR="00467DDD" w:rsidRDefault="00F11AA6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96AED">
        <w:rPr>
          <w:rFonts w:ascii="Times New Roman" w:eastAsia="Times New Roman" w:hAnsi="Times New Roman" w:cs="Times New Roman"/>
          <w:sz w:val="24"/>
          <w:szCs w:val="24"/>
        </w:rPr>
        <w:t>The stop loss limits help reduce the amount of loss incurred when a stock expe</w:t>
      </w:r>
      <w:r w:rsidR="009F0410">
        <w:rPr>
          <w:rFonts w:ascii="Times New Roman" w:eastAsia="Times New Roman" w:hAnsi="Times New Roman" w:cs="Times New Roman"/>
          <w:sz w:val="24"/>
          <w:szCs w:val="24"/>
        </w:rPr>
        <w:t xml:space="preserve">riences a rapid downturn. Stop losses are sale instructions that are triggered when the price of a stock </w:t>
      </w:r>
      <w:r w:rsidR="0055468B">
        <w:rPr>
          <w:rFonts w:ascii="Times New Roman" w:eastAsia="Times New Roman" w:hAnsi="Times New Roman" w:cs="Times New Roman"/>
          <w:sz w:val="24"/>
          <w:szCs w:val="24"/>
        </w:rPr>
        <w:t xml:space="preserve">goes below a certain point. When setting the stop loss limit, an investor should consider the short term </w:t>
      </w:r>
      <w:r w:rsidR="0055468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volatility </w:t>
      </w:r>
      <w:r w:rsidR="007515D0">
        <w:rPr>
          <w:rFonts w:ascii="Times New Roman" w:eastAsia="Times New Roman" w:hAnsi="Times New Roman" w:cs="Times New Roman"/>
          <w:sz w:val="24"/>
          <w:szCs w:val="24"/>
        </w:rPr>
        <w:t>of a stock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442805037"/>
          <w:citation/>
        </w:sdtPr>
        <w:sdtEndPr/>
        <w:sdtContent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Lot09 \l 1033 </w:instrText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26104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26104A" w:rsidRPr="0026104A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(Loton, 2009)</w:t>
          </w:r>
          <w:r w:rsidR="002610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515D0">
        <w:rPr>
          <w:rFonts w:ascii="Times New Roman" w:eastAsia="Times New Roman" w:hAnsi="Times New Roman" w:cs="Times New Roman"/>
          <w:sz w:val="24"/>
          <w:szCs w:val="24"/>
        </w:rPr>
        <w:t xml:space="preserve">. The stop loss limit should be set in such a way that it is not triggered by short term price volatility, such as the hourly or daily fluctuations, but by large stock price movements. </w:t>
      </w:r>
    </w:p>
    <w:p w:rsidR="0067775B" w:rsidRPr="008379B4" w:rsidRDefault="000E6125" w:rsidP="001159A9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79B4">
        <w:rPr>
          <w:rFonts w:ascii="Times New Roman" w:eastAsia="Times New Roman" w:hAnsi="Times New Roman" w:cs="Times New Roman"/>
          <w:b/>
          <w:sz w:val="24"/>
          <w:szCs w:val="24"/>
        </w:rPr>
        <w:t>Results</w:t>
      </w:r>
    </w:p>
    <w:p w:rsidR="00A17D12" w:rsidRDefault="00A17D12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risk management approaches mentioned above </w:t>
      </w:r>
      <w:r w:rsidR="00C823B6">
        <w:rPr>
          <w:rFonts w:ascii="Times New Roman" w:eastAsia="Times New Roman" w:hAnsi="Times New Roman" w:cs="Times New Roman"/>
          <w:sz w:val="24"/>
          <w:szCs w:val="24"/>
        </w:rPr>
        <w:t>helped in obtaining consistent return. By follow</w:t>
      </w:r>
      <w:r w:rsidR="004123F0">
        <w:rPr>
          <w:rFonts w:ascii="Times New Roman" w:eastAsia="Times New Roman" w:hAnsi="Times New Roman" w:cs="Times New Roman"/>
          <w:sz w:val="24"/>
          <w:szCs w:val="24"/>
        </w:rPr>
        <w:t xml:space="preserve">ing the trend </w:t>
      </w:r>
      <w:r w:rsidR="00C823B6">
        <w:rPr>
          <w:rFonts w:ascii="Times New Roman" w:eastAsia="Times New Roman" w:hAnsi="Times New Roman" w:cs="Times New Roman"/>
          <w:sz w:val="24"/>
          <w:szCs w:val="24"/>
        </w:rPr>
        <w:t>betw</w:t>
      </w:r>
      <w:r w:rsidR="00A63B96">
        <w:rPr>
          <w:rFonts w:ascii="Times New Roman" w:eastAsia="Times New Roman" w:hAnsi="Times New Roman" w:cs="Times New Roman"/>
          <w:sz w:val="24"/>
          <w:szCs w:val="24"/>
        </w:rPr>
        <w:t xml:space="preserve">een the years 2014 to 2018, an investor would have made a reasonable return on all the four stocks as has been shown in the price charts above. </w:t>
      </w:r>
    </w:p>
    <w:p w:rsidR="008379B4" w:rsidRDefault="008379B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379B4" w:rsidRDefault="008379B4" w:rsidP="008379B4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D5800">
        <w:rPr>
          <w:rFonts w:ascii="Times New Roman" w:eastAsia="Times New Roman" w:hAnsi="Times New Roman" w:cs="Times New Roman"/>
          <w:sz w:val="24"/>
          <w:szCs w:val="24"/>
        </w:rPr>
        <w:instrText xml:space="preserve"> BIBLIOGRAPHY  \l 1033 </w:instrText>
      </w:r>
      <w:r w:rsidRPr="00ED580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Choudhry, M. (2013). </w:t>
      </w: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An Introduction to Value-at-Risk.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West Sussex: John Wiley &amp; Sons Limited.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Dunkin Brands Group Inc.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(2019). Retrieved from investing.com: https://www.investing.com/equities/dunkin-brands-group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Kensinger, J. W. (2018). </w:t>
      </w: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Growing Presence of Real Options in Global Financial Markets.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Bingley: Emerald Publishing Limited.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Loton, T. (2009). </w:t>
      </w: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Stop Orders: A practical guide to using stop orders for traders and investors.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Hampshire: Harriman House Limited.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Marty, W. (2013). </w:t>
      </w: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Portfolio Analytics: An Introduction to Return and Risk Measurement.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New York: Springer.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Starbucks Corporation.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(2019). Retrieved from Investing.com: https://www.investing.com/equities/starbucks-corp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The Cheesecake Factory.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(2019). Retrieved from investing.com: https://www.investing.com/equities/the-cheesecake-factory</w:t>
      </w:r>
    </w:p>
    <w:p w:rsidR="00ED5800" w:rsidRPr="00ED5800" w:rsidRDefault="00ED5800" w:rsidP="00ED5800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ED5800">
        <w:rPr>
          <w:rFonts w:ascii="Times New Roman" w:hAnsi="Times New Roman" w:cs="Times New Roman"/>
          <w:i/>
          <w:iCs/>
          <w:noProof/>
          <w:sz w:val="24"/>
          <w:szCs w:val="24"/>
        </w:rPr>
        <w:t>TXRH Overview.</w:t>
      </w:r>
      <w:r w:rsidRPr="00ED5800">
        <w:rPr>
          <w:rFonts w:ascii="Times New Roman" w:hAnsi="Times New Roman" w:cs="Times New Roman"/>
          <w:noProof/>
          <w:sz w:val="24"/>
          <w:szCs w:val="24"/>
        </w:rPr>
        <w:t xml:space="preserve"> (2019). Retrieved from investing.com: https://www.investing.com/equities/texas-roadhouse</w:t>
      </w:r>
    </w:p>
    <w:p w:rsidR="008379B4" w:rsidRPr="0067775B" w:rsidRDefault="00ED5800" w:rsidP="00ED580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80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390DB7" w:rsidRPr="00005A2D" w:rsidRDefault="00390DB7" w:rsidP="001159A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90DB7" w:rsidRPr="00005A2D" w:rsidSect="006030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212" w:rsidRDefault="00D17212" w:rsidP="0060306E">
      <w:pPr>
        <w:spacing w:after="0" w:line="240" w:lineRule="auto"/>
      </w:pPr>
      <w:r>
        <w:separator/>
      </w:r>
    </w:p>
  </w:endnote>
  <w:endnote w:type="continuationSeparator" w:id="0">
    <w:p w:rsidR="00D17212" w:rsidRDefault="00D17212" w:rsidP="0060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5C" w:rsidRDefault="000D7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5C" w:rsidRDefault="000D7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5C" w:rsidRDefault="000D7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212" w:rsidRDefault="00D17212" w:rsidP="0060306E">
      <w:pPr>
        <w:spacing w:after="0" w:line="240" w:lineRule="auto"/>
      </w:pPr>
      <w:r>
        <w:separator/>
      </w:r>
    </w:p>
  </w:footnote>
  <w:footnote w:type="continuationSeparator" w:id="0">
    <w:p w:rsidR="00D17212" w:rsidRDefault="00D17212" w:rsidP="00603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F5C" w:rsidRDefault="000D7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06E" w:rsidRDefault="0060306E" w:rsidP="0060306E">
    <w:pPr>
      <w:pStyle w:val="Header"/>
      <w:spacing w:line="480" w:lineRule="auto"/>
    </w:pPr>
    <w:r w:rsidRPr="0060306E">
      <w:rPr>
        <w:rFonts w:ascii="Times New Roman" w:eastAsia="Times New Roman" w:hAnsi="Times New Roman" w:cs="Times New Roman"/>
        <w:sz w:val="24"/>
        <w:szCs w:val="24"/>
      </w:rPr>
      <w:t xml:space="preserve">RISK MANAGEMENT </w:t>
    </w:r>
    <w:sdt>
      <w:sdtPr>
        <w:rPr>
          <w:rFonts w:ascii="Times New Roman" w:hAnsi="Times New Roman" w:cs="Times New Roman"/>
          <w:sz w:val="24"/>
          <w:szCs w:val="24"/>
        </w:rPr>
        <w:id w:val="-20390422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</w:t>
        </w:r>
        <w:r w:rsidRPr="006030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30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30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27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030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06E" w:rsidRPr="0060306E" w:rsidRDefault="0060306E" w:rsidP="0060306E">
    <w:pPr>
      <w:spacing w:after="0" w:line="480" w:lineRule="auto"/>
      <w:rPr>
        <w:rFonts w:ascii="Times New Roman" w:eastAsia="Times New Roman" w:hAnsi="Times New Roman" w:cs="Times New Roman"/>
        <w:sz w:val="24"/>
        <w:szCs w:val="24"/>
      </w:rPr>
    </w:pPr>
    <w:r w:rsidRPr="0060306E">
      <w:rPr>
        <w:rFonts w:ascii="Times New Roman" w:hAnsi="Times New Roman" w:cs="Times New Roman"/>
        <w:sz w:val="24"/>
        <w:szCs w:val="24"/>
      </w:rPr>
      <w:t xml:space="preserve">Running head: </w:t>
    </w:r>
    <w:r w:rsidRPr="0060306E">
      <w:rPr>
        <w:rFonts w:ascii="Times New Roman" w:eastAsia="Times New Roman" w:hAnsi="Times New Roman" w:cs="Times New Roman"/>
        <w:sz w:val="24"/>
        <w:szCs w:val="24"/>
      </w:rPr>
      <w:t xml:space="preserve">RISK MANAGEMENT </w:t>
    </w:r>
    <w:sdt>
      <w:sdtPr>
        <w:rPr>
          <w:rFonts w:ascii="Times New Roman" w:hAnsi="Times New Roman" w:cs="Times New Roman"/>
          <w:sz w:val="24"/>
          <w:szCs w:val="24"/>
        </w:rPr>
        <w:id w:val="1484139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</w:t>
        </w:r>
        <w:r w:rsidRPr="006030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30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30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277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030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75B"/>
    <w:rsid w:val="00005A2D"/>
    <w:rsid w:val="0003492A"/>
    <w:rsid w:val="00036A8E"/>
    <w:rsid w:val="00066D0E"/>
    <w:rsid w:val="00070383"/>
    <w:rsid w:val="000A058F"/>
    <w:rsid w:val="000B228E"/>
    <w:rsid w:val="000D7F5C"/>
    <w:rsid w:val="000E6125"/>
    <w:rsid w:val="000F6046"/>
    <w:rsid w:val="001159A9"/>
    <w:rsid w:val="00121DE2"/>
    <w:rsid w:val="0012570E"/>
    <w:rsid w:val="00146790"/>
    <w:rsid w:val="00161951"/>
    <w:rsid w:val="001760DD"/>
    <w:rsid w:val="00190099"/>
    <w:rsid w:val="001A20A7"/>
    <w:rsid w:val="001B268C"/>
    <w:rsid w:val="001F2372"/>
    <w:rsid w:val="0026104A"/>
    <w:rsid w:val="00267AFB"/>
    <w:rsid w:val="002C3C5F"/>
    <w:rsid w:val="00334DEF"/>
    <w:rsid w:val="003500A3"/>
    <w:rsid w:val="00390DB7"/>
    <w:rsid w:val="003928EA"/>
    <w:rsid w:val="00396AED"/>
    <w:rsid w:val="003E57FE"/>
    <w:rsid w:val="004123F0"/>
    <w:rsid w:val="00424C67"/>
    <w:rsid w:val="00426B8F"/>
    <w:rsid w:val="0044277B"/>
    <w:rsid w:val="00450A4E"/>
    <w:rsid w:val="004568E4"/>
    <w:rsid w:val="00462551"/>
    <w:rsid w:val="00467DDD"/>
    <w:rsid w:val="00470EFF"/>
    <w:rsid w:val="00470F9C"/>
    <w:rsid w:val="004963B7"/>
    <w:rsid w:val="004E5600"/>
    <w:rsid w:val="004E7354"/>
    <w:rsid w:val="004F2ABB"/>
    <w:rsid w:val="00507F2D"/>
    <w:rsid w:val="00512436"/>
    <w:rsid w:val="0053389D"/>
    <w:rsid w:val="00542406"/>
    <w:rsid w:val="0055468B"/>
    <w:rsid w:val="00555B39"/>
    <w:rsid w:val="005F270D"/>
    <w:rsid w:val="0060306E"/>
    <w:rsid w:val="00623399"/>
    <w:rsid w:val="006265DC"/>
    <w:rsid w:val="0067775B"/>
    <w:rsid w:val="00693E84"/>
    <w:rsid w:val="006A0A19"/>
    <w:rsid w:val="006B6965"/>
    <w:rsid w:val="006B6C31"/>
    <w:rsid w:val="006C31D9"/>
    <w:rsid w:val="0070681C"/>
    <w:rsid w:val="007474B7"/>
    <w:rsid w:val="007515D0"/>
    <w:rsid w:val="00790AB8"/>
    <w:rsid w:val="00835087"/>
    <w:rsid w:val="008377EA"/>
    <w:rsid w:val="008379B4"/>
    <w:rsid w:val="008578D5"/>
    <w:rsid w:val="008A4A4E"/>
    <w:rsid w:val="008A4C8D"/>
    <w:rsid w:val="008B7FF1"/>
    <w:rsid w:val="008D10CB"/>
    <w:rsid w:val="008D2D71"/>
    <w:rsid w:val="0090741D"/>
    <w:rsid w:val="00914EA5"/>
    <w:rsid w:val="00945A3E"/>
    <w:rsid w:val="009E3F72"/>
    <w:rsid w:val="009E517D"/>
    <w:rsid w:val="009F0410"/>
    <w:rsid w:val="00A00686"/>
    <w:rsid w:val="00A17D12"/>
    <w:rsid w:val="00A41825"/>
    <w:rsid w:val="00A6268A"/>
    <w:rsid w:val="00A63B96"/>
    <w:rsid w:val="00AB39A1"/>
    <w:rsid w:val="00AF62A0"/>
    <w:rsid w:val="00B54523"/>
    <w:rsid w:val="00B77B6D"/>
    <w:rsid w:val="00BF0D70"/>
    <w:rsid w:val="00BF620B"/>
    <w:rsid w:val="00C01CD8"/>
    <w:rsid w:val="00C30129"/>
    <w:rsid w:val="00C31A22"/>
    <w:rsid w:val="00C43344"/>
    <w:rsid w:val="00C823B6"/>
    <w:rsid w:val="00CA4F4E"/>
    <w:rsid w:val="00CC2613"/>
    <w:rsid w:val="00D17212"/>
    <w:rsid w:val="00D2177E"/>
    <w:rsid w:val="00D438A7"/>
    <w:rsid w:val="00D8361F"/>
    <w:rsid w:val="00DA4513"/>
    <w:rsid w:val="00DB1AA2"/>
    <w:rsid w:val="00DB3B6B"/>
    <w:rsid w:val="00E07E3C"/>
    <w:rsid w:val="00E17E0D"/>
    <w:rsid w:val="00E25363"/>
    <w:rsid w:val="00E82B0D"/>
    <w:rsid w:val="00EA57E0"/>
    <w:rsid w:val="00EC43AC"/>
    <w:rsid w:val="00ED5800"/>
    <w:rsid w:val="00F11AA6"/>
    <w:rsid w:val="00F17364"/>
    <w:rsid w:val="00F27CAE"/>
    <w:rsid w:val="00F4492B"/>
    <w:rsid w:val="00F94A87"/>
    <w:rsid w:val="00FE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0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06E"/>
  </w:style>
  <w:style w:type="paragraph" w:styleId="Footer">
    <w:name w:val="footer"/>
    <w:basedOn w:val="Normal"/>
    <w:link w:val="FooterChar"/>
    <w:uiPriority w:val="99"/>
    <w:unhideWhenUsed/>
    <w:rsid w:val="006030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06E"/>
  </w:style>
  <w:style w:type="paragraph" w:styleId="Caption">
    <w:name w:val="caption"/>
    <w:basedOn w:val="Normal"/>
    <w:next w:val="Normal"/>
    <w:uiPriority w:val="35"/>
    <w:unhideWhenUsed/>
    <w:qFormat/>
    <w:rsid w:val="0083508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470F9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837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Lot09</b:Tag>
    <b:SourceType>Book</b:SourceType>
    <b:Guid>{91608199-FB4E-40C5-B589-79EBE37823C1}</b:Guid>
    <b:Title>Stop Orders: A practical guide to using stop orders for traders and investors</b:Title>
    <b:Year>2009</b:Year>
    <b:City>Hampshire</b:City>
    <b:Publisher>Harriman House Limited</b:Publisher>
    <b:Author>
      <b:Author>
        <b:NameList>
          <b:Person>
            <b:Last>Loton</b:Last>
            <b:First>Tony</b:First>
          </b:Person>
        </b:NameList>
      </b:Author>
    </b:Author>
    <b:RefOrder>8</b:RefOrder>
  </b:Source>
  <b:Source>
    <b:Tag>Cho13</b:Tag>
    <b:SourceType>Book</b:SourceType>
    <b:Guid>{5D8F2A0E-6B29-474C-8A50-68481341A225}</b:Guid>
    <b:Title>An Introduction to Value-at-Risk</b:Title>
    <b:Year>2013</b:Year>
    <b:City>West Sussex</b:City>
    <b:Publisher>John Wiley &amp; Sons Limited</b:Publisher>
    <b:Author>
      <b:Author>
        <b:NameList>
          <b:Person>
            <b:Last>Choudhry</b:Last>
            <b:First>Moorad</b:First>
          </b:Person>
        </b:NameList>
      </b:Author>
    </b:Author>
    <b:RefOrder>7</b:RefOrder>
  </b:Source>
  <b:Source>
    <b:Tag>Ken18</b:Tag>
    <b:SourceType>Book</b:SourceType>
    <b:Guid>{0E591247-70C6-42F9-A28A-A96FF0EFAEA9}</b:Guid>
    <b:Title>Growing Presence of Real Options in Global Financial Markets</b:Title>
    <b:Year>2018</b:Year>
    <b:City>Bingley</b:City>
    <b:Publisher>Emerald Publishing Limited</b:Publisher>
    <b:Author>
      <b:Author>
        <b:NameList>
          <b:Person>
            <b:Last>Kensinger</b:Last>
            <b:Middle>W.</b:Middle>
            <b:First>John</b:First>
          </b:Person>
        </b:NameList>
      </b:Author>
    </b:Author>
    <b:RefOrder>6</b:RefOrder>
  </b:Source>
  <b:Source>
    <b:Tag>Mar131</b:Tag>
    <b:SourceType>Book</b:SourceType>
    <b:Guid>{40B8C897-077C-464B-B16F-CBECFFFAA982}</b:Guid>
    <b:Title>Portfolio Analytics: An Introduction to Return and Risk Measurement</b:Title>
    <b:Year>2013</b:Year>
    <b:City>New York</b:City>
    <b:Publisher>Springer</b:Publisher>
    <b:Author>
      <b:Author>
        <b:NameList>
          <b:Person>
            <b:Last>Marty</b:Last>
            <b:First>Wolfgang</b:First>
          </b:Person>
        </b:NameList>
      </b:Author>
    </b:Author>
    <b:RefOrder>1</b:RefOrder>
  </b:Source>
  <b:Source>
    <b:Tag>TXR19</b:Tag>
    <b:SourceType>DocumentFromInternetSite</b:SourceType>
    <b:Guid>{1C464EC8-192D-4674-8860-407C984E2330}</b:Guid>
    <b:Title>TXRH Overview</b:Title>
    <b:Year>2019</b:Year>
    <b:InternetSiteTitle>investing.com</b:InternetSiteTitle>
    <b:URL>https://www.investing.com/equities/texas-roadhouse</b:URL>
    <b:RefOrder>5</b:RefOrder>
  </b:Source>
  <b:Source>
    <b:Tag>The19</b:Tag>
    <b:SourceType>DocumentFromInternetSite</b:SourceType>
    <b:Guid>{006CDBFD-B356-44E5-B67D-9190A77E1595}</b:Guid>
    <b:Title>The Cheesecake Factory</b:Title>
    <b:InternetSiteTitle>investing.com</b:InternetSiteTitle>
    <b:Year>2019</b:Year>
    <b:URL>https://www.investing.com/equities/the-cheesecake-factory</b:URL>
    <b:RefOrder>4</b:RefOrder>
  </b:Source>
  <b:Source>
    <b:Tag>Dun19</b:Tag>
    <b:SourceType>DocumentFromInternetSite</b:SourceType>
    <b:Guid>{430A5438-2923-43ED-867E-6FD6A6AAD991}</b:Guid>
    <b:Title>Dunkin Brands Group Inc</b:Title>
    <b:InternetSiteTitle>investing.com</b:InternetSiteTitle>
    <b:Year>2019</b:Year>
    <b:URL>https://www.investing.com/equities/dunkin-brands-group</b:URL>
    <b:RefOrder>3</b:RefOrder>
  </b:Source>
  <b:Source>
    <b:Tag>Sta19</b:Tag>
    <b:SourceType>DocumentFromInternetSite</b:SourceType>
    <b:Guid>{9898BBA2-A13E-4394-8AFF-CD34A049746B}</b:Guid>
    <b:Title>Starbucks Corporation</b:Title>
    <b:InternetSiteTitle>Investing.com</b:InternetSiteTitle>
    <b:Year>2019</b:Year>
    <b:URL>https://www.investing.com/equities/starbucks-corp</b:URL>
    <b:RefOrder>2</b:RefOrder>
  </b:Source>
</b:Sources>
</file>

<file path=customXml/itemProps1.xml><?xml version="1.0" encoding="utf-8"?>
<ds:datastoreItem xmlns:ds="http://schemas.openxmlformats.org/officeDocument/2006/customXml" ds:itemID="{5A1AE73E-700C-4F9B-9517-74303948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2019-04-20T22:20:00Z</dcterms:created>
  <dcterms:modified xsi:type="dcterms:W3CDTF">2019-04-20T22:20:00Z</dcterms:modified>
</cp:coreProperties>
</file>